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B0" w:rsidRPr="008A467E" w:rsidRDefault="008A467E" w:rsidP="002A07F4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WIELKIE SHOW NA TARGACH SECUREX</w:t>
      </w:r>
    </w:p>
    <w:p w:rsidR="00DA159C" w:rsidRPr="008A467E" w:rsidRDefault="00DA159C" w:rsidP="002A07F4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9C62EE" w:rsidRPr="008A467E" w:rsidRDefault="009C62EE" w:rsidP="002A07F4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436AC9" w:rsidRPr="008A467E" w:rsidRDefault="008A467E" w:rsidP="002A07F4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 xml:space="preserve">Potęga pokazów i wydarzeń merytorycznych – tak można określić atrakcje, jakie przygotowują organizatorzy, by zaprezentować możliwości najnowszych technologii w branży zabezpieczeń </w:t>
      </w:r>
      <w:r w:rsidR="00436AC9"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 xml:space="preserve">w </w:t>
      </w:r>
      <w:r w:rsidR="0094744E"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d</w:t>
      </w:r>
      <w:r w:rsidR="00436AC9"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 xml:space="preserve">niach 23-26.04.2018 na terenie Międzynarodowych Targów Poznańskich. </w:t>
      </w:r>
    </w:p>
    <w:p w:rsidR="00436AC9" w:rsidRPr="008A467E" w:rsidRDefault="00436AC9" w:rsidP="002A07F4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Historia rodem z filmu</w:t>
      </w:r>
    </w:p>
    <w:p w:rsidR="008A467E" w:rsidRPr="008A467E" w:rsidRDefault="008A467E" w:rsidP="008A467E">
      <w:pPr>
        <w:jc w:val="both"/>
        <w:rPr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MTP i Polska Izba Ochrony planują szereg akcji pokazowych, które będą miały na celu prezentację najnowszych technik i procedur przy transporcie i ekspozycji przedmiotów  wartościowych. „Dama z gronostajem” – to wokół tego dzieła zaaranżowana zostanie jedna z akcji pokazująca możliwości zastosowania analityki obrazów w ochronie wartościowych przedmiotów, zastosowanie prewencyjne głośników IP, możliwości zastosowania systemu opartego na beaconach w ochronie przedmiotów wartościowych, czy sprawności grupy interwencyjnej w ujęciu sprawców przestępstwa. Działania Polskiej Izby Ochrony mają pokazać najnowsze tendencje w branży, które są wynikiem zmiany sytuacji na rynku pracy, wymuszonej wprowadzeniem stawek minimalnego wynagrodzenia, trudnością pozyskania pracowników, a w konsekwencji rozwinięciem nowych rozwiązań – nowych technologii wspierających ochronę fizyczną obiektów. </w:t>
      </w:r>
    </w:p>
    <w:p w:rsidR="008A467E" w:rsidRPr="008A467E" w:rsidRDefault="008A467E" w:rsidP="008A467E">
      <w:pPr>
        <w:jc w:val="both"/>
        <w:rPr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Ochrona najwyższych lotów</w:t>
      </w:r>
    </w:p>
    <w:p w:rsidR="008A467E" w:rsidRPr="008A467E" w:rsidRDefault="008A467E" w:rsidP="008A467E">
      <w:pPr>
        <w:jc w:val="both"/>
        <w:rPr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Tak jak roboty przemysłowe podnoszą wydajność produkcji, tak drony  znacznie usprawniają przebieg pracy i poprawiają jej bezpieczeństwo. Codziennie podczas targów SECUREX odbywać się będą modelowe loty dronem z dualną kamerą termowizyjną. Pokazy mają na celu przedstawienie przykładów ochrony obwodowej z powietrza oraz przeszukiwania terenu z wykorzystaniem kamery termowizyjnej. </w:t>
      </w:r>
    </w:p>
    <w:p w:rsidR="008A467E" w:rsidRPr="008A467E" w:rsidRDefault="008A467E" w:rsidP="008A467E">
      <w:pPr>
        <w:jc w:val="both"/>
        <w:rPr>
          <w:b/>
          <w:sz w:val="18"/>
          <w:szCs w:val="18"/>
        </w:rPr>
      </w:pPr>
    </w:p>
    <w:p w:rsidR="008A467E" w:rsidRPr="00F67428" w:rsidRDefault="008A467E" w:rsidP="008A467E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</w:p>
    <w:p w:rsidR="00E21E25" w:rsidRDefault="00E21E25" w:rsidP="006E512B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F67428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N</w:t>
      </w:r>
      <w:r w:rsidR="00F67428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apad na konwój bankowy – będzie akcja!</w:t>
      </w:r>
    </w:p>
    <w:p w:rsidR="006E512B" w:rsidRDefault="006E512B" w:rsidP="006E512B">
      <w:pPr>
        <w:jc w:val="both"/>
      </w:pPr>
      <w:bookmarkStart w:id="0" w:name="_GoBack"/>
      <w:bookmarkEnd w:id="0"/>
    </w:p>
    <w:p w:rsidR="00E21E25" w:rsidRDefault="00E21E25" w:rsidP="009342CE">
      <w:pPr>
        <w:pStyle w:val="Standard"/>
        <w:jc w:val="both"/>
        <w:rPr>
          <w:lang w:val="pl-PL"/>
        </w:rPr>
      </w:pP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Konwój bankowy wraz z ładunkiem (środki pieniężne w postaci waluty polskiej) wyrusza z Narodowego Banku Polskiego i przemieszcza się ulicami miasta Poznania.</w:t>
      </w:r>
      <w:r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 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Na trasie przejazdu w jednej ze studzienek kanalizacyjnych zamaskowani przestępcy umieszczają ładunek wybuchowy, który ma na celu zatrzymanie pojazdu.</w:t>
      </w:r>
      <w:r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 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Podczas przejazdu bankowozu nagle dochodzi do wybuchu pod pojazdem, który powoduje zatrzymanie pojazdu.</w:t>
      </w:r>
      <w:r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 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Funkcjonariusze Straży Bankowej wysiadają z pojazdu i nagle z jednej z ulic wyjeżdża pojazd z zamaskowanymi przestępcami, którzy kierują w stronę funkcjonariuszy ogień z broni maszynowej.</w:t>
      </w:r>
      <w:r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 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Dwóch zamaskowanych sprawców obezwładnia funkcjo</w:t>
      </w:r>
      <w:r w:rsidR="009342CE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nariuszy Straży Bankowej 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i zakłada im taśmy na ręce.</w:t>
      </w:r>
      <w:r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 </w:t>
      </w:r>
      <w:r w:rsidR="009342CE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s</w:t>
      </w:r>
      <w:r w:rsidRPr="00E21E25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prawcy biorą jednego zakładnika i próbują pod groźbą utraty życia zmusić go do otwarcia tylnych drzwi bankowozu</w:t>
      </w:r>
      <w:r w:rsidR="009342CE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 xml:space="preserve">. Co dzieje się dalej? Na to pytanie odpowiedź padnie podczas </w:t>
      </w:r>
      <w:r w:rsidR="00F336C8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pokazu organizowanego przez Komendę Wojewódzką Policji w Poznaniu</w:t>
      </w:r>
      <w:r w:rsidR="009342CE">
        <w:rPr>
          <w:rFonts w:ascii="Arial" w:eastAsiaTheme="minorEastAsia" w:hAnsi="Arial" w:cs="Arial"/>
          <w:noProof/>
          <w:color w:val="1F497D"/>
          <w:kern w:val="0"/>
          <w:sz w:val="18"/>
          <w:szCs w:val="18"/>
          <w:lang w:val="pl-PL" w:eastAsia="pl-PL" w:bidi="ar-SA"/>
        </w:rPr>
        <w:t>.</w:t>
      </w: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 </w:t>
      </w:r>
    </w:p>
    <w:p w:rsidR="008A467E" w:rsidRDefault="008A467E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Na targi po wiedzę i umiejętności</w:t>
      </w:r>
    </w:p>
    <w:p w:rsidR="00E52D48" w:rsidRPr="008A467E" w:rsidRDefault="00E52D48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Równolegle z targami SECUREX odbywają się Międzynarodowe Targi Ochrony Pracy, Pożarnictwa i Ratownictwa SAWO oraz Międzynarodowe Targi Instalacyjne INSTALACJE, Międzynarodowe Targi Energii Odnawialnej GreenPOWER oraz Międzynarodowe Targi Energetyki EXPOPOWER. W ramach poszczególnych wydarzeń targowych</w:t>
      </w:r>
      <w:r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 </w:t>
      </w: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na pierwszy plan wysuwają się projekty specjalne, odzwierciedlające tendencje na rynku i wskazujące nowe trendy w branży:</w:t>
      </w:r>
    </w:p>
    <w:p w:rsidR="008A467E" w:rsidRPr="008A467E" w:rsidRDefault="008A467E" w:rsidP="008A467E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SECUREX: JESTEM INTELIGENTNY</w:t>
      </w:r>
      <w:r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 - Inteligentny Budynek, </w:t>
      </w: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Securex BeIn, Mistrzostwa Polski Instalatorów Systemów Alarmowych, Drone Zone, Smart City;</w:t>
      </w:r>
    </w:p>
    <w:p w:rsidR="008A467E" w:rsidRPr="008A467E" w:rsidRDefault="008A467E" w:rsidP="008A467E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SAWO: m.in. Konferencje Państwowej Inspekcji Pracy oraz Promotora BHP, zawody piłki sikawkowej – Hydroball, pokazy z zakresu gaszenia pożarów wewnętrznych, obecność Fire Girls;</w:t>
      </w:r>
    </w:p>
    <w:p w:rsidR="008A467E" w:rsidRPr="008A467E" w:rsidRDefault="008A467E" w:rsidP="008A467E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>INSTALACJE: Mistrzostwa Polski Instalatorów, Strefa Męskiej Rozrywki, Łazienka PRO;</w:t>
      </w:r>
    </w:p>
    <w:p w:rsidR="008A467E" w:rsidRPr="008A467E" w:rsidRDefault="008A467E" w:rsidP="008A467E">
      <w:pPr>
        <w:pStyle w:val="Akapitzlist"/>
        <w:numPr>
          <w:ilvl w:val="0"/>
          <w:numId w:val="2"/>
        </w:num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t xml:space="preserve">GreenPOWER &amp; EXPOPOWER: ENEA Operator dla profesjonalistów i młodzieży; Strefa </w:t>
      </w:r>
      <w:r w:rsidRPr="008A467E">
        <w:rPr>
          <w:rFonts w:ascii="Arial" w:eastAsiaTheme="minorEastAsia" w:hAnsi="Arial" w:cs="Arial"/>
          <w:noProof/>
          <w:color w:val="1F497D"/>
          <w:sz w:val="18"/>
          <w:szCs w:val="18"/>
        </w:rPr>
        <w:br/>
        <w:t>E-mobility.</w:t>
      </w:r>
    </w:p>
    <w:p w:rsidR="008A467E" w:rsidRPr="008A467E" w:rsidRDefault="008A467E" w:rsidP="00436AC9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</w:p>
    <w:p w:rsidR="008A467E" w:rsidRPr="008A467E" w:rsidRDefault="008A467E" w:rsidP="00436AC9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</w:p>
    <w:p w:rsidR="007E5277" w:rsidRPr="008A467E" w:rsidRDefault="007E5277" w:rsidP="002A07F4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8A467E" w:rsidRPr="008A467E" w:rsidRDefault="008A467E" w:rsidP="008A467E">
      <w:pPr>
        <w:jc w:val="both"/>
        <w:rPr>
          <w:rFonts w:ascii="Arial" w:eastAsiaTheme="minorEastAsia" w:hAnsi="Arial" w:cs="Arial"/>
          <w:b/>
          <w:noProof/>
          <w:color w:val="1F497D"/>
          <w:sz w:val="18"/>
          <w:szCs w:val="18"/>
        </w:rPr>
      </w:pP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Targi SECUREX</w:t>
      </w:r>
      <w:r w:rsidR="009342C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 xml:space="preserve"> to także szereg konferencji i szkoleń. Więcej informacji: </w:t>
      </w:r>
      <w:hyperlink r:id="rId7" w:history="1">
        <w:r w:rsidR="009342CE" w:rsidRPr="00BF0610">
          <w:rPr>
            <w:rStyle w:val="Hipercze"/>
            <w:rFonts w:ascii="Arial" w:eastAsiaTheme="minorEastAsia" w:hAnsi="Arial" w:cs="Arial"/>
            <w:b/>
            <w:noProof/>
            <w:sz w:val="18"/>
            <w:szCs w:val="18"/>
          </w:rPr>
          <w:t>www.securex.pl</w:t>
        </w:r>
      </w:hyperlink>
      <w:r w:rsidR="009342C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 xml:space="preserve">. </w:t>
      </w:r>
      <w:r w:rsidR="009342C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br/>
        <w:t>Z</w:t>
      </w:r>
      <w:r w:rsidRPr="008A467E">
        <w:rPr>
          <w:rFonts w:ascii="Arial" w:eastAsiaTheme="minorEastAsia" w:hAnsi="Arial" w:cs="Arial"/>
          <w:b/>
          <w:noProof/>
          <w:color w:val="1F497D"/>
          <w:sz w:val="18"/>
          <w:szCs w:val="18"/>
        </w:rPr>
        <w:t>abezpiecz biznes, wiedzę, umiejętności, emocje. Do zobaczenia w Poznaniu!</w:t>
      </w:r>
    </w:p>
    <w:p w:rsidR="008A467E" w:rsidRPr="008A467E" w:rsidRDefault="008A467E" w:rsidP="008A467E">
      <w:pPr>
        <w:jc w:val="both"/>
        <w:rPr>
          <w:sz w:val="18"/>
          <w:szCs w:val="18"/>
        </w:rPr>
      </w:pPr>
    </w:p>
    <w:p w:rsidR="008121F7" w:rsidRPr="008A467E" w:rsidRDefault="008121F7" w:rsidP="002A07F4">
      <w:pPr>
        <w:jc w:val="both"/>
        <w:rPr>
          <w:sz w:val="18"/>
          <w:szCs w:val="18"/>
        </w:rPr>
      </w:pPr>
    </w:p>
    <w:p w:rsidR="002A07F4" w:rsidRPr="008A467E" w:rsidRDefault="002A07F4" w:rsidP="002A07F4">
      <w:pPr>
        <w:jc w:val="both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2A07F4" w:rsidRPr="008A467E" w:rsidRDefault="002A07F4" w:rsidP="002A07F4">
      <w:pPr>
        <w:jc w:val="both"/>
        <w:rPr>
          <w:rFonts w:eastAsiaTheme="minorEastAsia"/>
          <w:noProof/>
          <w:color w:val="000080"/>
          <w:sz w:val="18"/>
          <w:szCs w:val="18"/>
        </w:rPr>
      </w:pPr>
    </w:p>
    <w:sectPr w:rsidR="002A07F4" w:rsidRPr="008A467E" w:rsidSect="002134C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44"/>
    <w:multiLevelType w:val="multilevel"/>
    <w:tmpl w:val="FF0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74D1F"/>
    <w:multiLevelType w:val="hybridMultilevel"/>
    <w:tmpl w:val="342A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37428"/>
    <w:multiLevelType w:val="hybridMultilevel"/>
    <w:tmpl w:val="D324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0"/>
    <w:rsid w:val="0002072A"/>
    <w:rsid w:val="00054A59"/>
    <w:rsid w:val="00083AB1"/>
    <w:rsid w:val="0009063F"/>
    <w:rsid w:val="000C7BD5"/>
    <w:rsid w:val="0012193A"/>
    <w:rsid w:val="001B4768"/>
    <w:rsid w:val="001C1C37"/>
    <w:rsid w:val="00201462"/>
    <w:rsid w:val="00290297"/>
    <w:rsid w:val="002A07F4"/>
    <w:rsid w:val="002A615A"/>
    <w:rsid w:val="002C53E1"/>
    <w:rsid w:val="002E242E"/>
    <w:rsid w:val="00305FDD"/>
    <w:rsid w:val="003510B9"/>
    <w:rsid w:val="00356982"/>
    <w:rsid w:val="003C6175"/>
    <w:rsid w:val="00413361"/>
    <w:rsid w:val="00434533"/>
    <w:rsid w:val="00436AC9"/>
    <w:rsid w:val="004D23DE"/>
    <w:rsid w:val="004D331F"/>
    <w:rsid w:val="004E2511"/>
    <w:rsid w:val="00525CE8"/>
    <w:rsid w:val="00574B0D"/>
    <w:rsid w:val="005C3DAD"/>
    <w:rsid w:val="006C762C"/>
    <w:rsid w:val="006E512B"/>
    <w:rsid w:val="006F5655"/>
    <w:rsid w:val="007D3C09"/>
    <w:rsid w:val="007E5277"/>
    <w:rsid w:val="008121F7"/>
    <w:rsid w:val="00824796"/>
    <w:rsid w:val="008A467E"/>
    <w:rsid w:val="008F0C93"/>
    <w:rsid w:val="0093297A"/>
    <w:rsid w:val="009342CE"/>
    <w:rsid w:val="009455B0"/>
    <w:rsid w:val="0094744E"/>
    <w:rsid w:val="009519C4"/>
    <w:rsid w:val="00984823"/>
    <w:rsid w:val="009A1B80"/>
    <w:rsid w:val="009C62EE"/>
    <w:rsid w:val="00AB57D1"/>
    <w:rsid w:val="00AC0EE1"/>
    <w:rsid w:val="00AE426F"/>
    <w:rsid w:val="00AF42B7"/>
    <w:rsid w:val="00B63E3C"/>
    <w:rsid w:val="00B95DC8"/>
    <w:rsid w:val="00C04450"/>
    <w:rsid w:val="00C61A81"/>
    <w:rsid w:val="00CD7F89"/>
    <w:rsid w:val="00D16695"/>
    <w:rsid w:val="00DA159C"/>
    <w:rsid w:val="00E21E25"/>
    <w:rsid w:val="00E3102B"/>
    <w:rsid w:val="00E52D48"/>
    <w:rsid w:val="00E717AC"/>
    <w:rsid w:val="00F336C8"/>
    <w:rsid w:val="00F67428"/>
    <w:rsid w:val="00F92A3C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5B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4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5B0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9455B0"/>
    <w:pPr>
      <w:spacing w:before="100" w:beforeAutospacing="1" w:after="100" w:afterAutospacing="1"/>
    </w:pPr>
  </w:style>
  <w:style w:type="character" w:styleId="Uwydatnienie">
    <w:name w:val="Emphasis"/>
    <w:qFormat/>
    <w:rsid w:val="009455B0"/>
    <w:rPr>
      <w:i/>
      <w:iCs/>
    </w:rPr>
  </w:style>
  <w:style w:type="paragraph" w:customStyle="1" w:styleId="Akapitzlist1">
    <w:name w:val="Akapit z listą1"/>
    <w:basedOn w:val="Normalny"/>
    <w:rsid w:val="00945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9455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A0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44E"/>
    <w:pPr>
      <w:ind w:left="720"/>
      <w:contextualSpacing/>
    </w:pPr>
  </w:style>
  <w:style w:type="character" w:styleId="Odwoaniedokomentarza">
    <w:name w:val="annotation reference"/>
    <w:basedOn w:val="Domylnaczcionkaakapitu"/>
    <w:rsid w:val="004133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361"/>
  </w:style>
  <w:style w:type="paragraph" w:styleId="Tematkomentarza">
    <w:name w:val="annotation subject"/>
    <w:basedOn w:val="Tekstkomentarza"/>
    <w:next w:val="Tekstkomentarza"/>
    <w:link w:val="TematkomentarzaZnak"/>
    <w:rsid w:val="0041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361"/>
    <w:rPr>
      <w:b/>
      <w:bCs/>
    </w:rPr>
  </w:style>
  <w:style w:type="paragraph" w:customStyle="1" w:styleId="Standard">
    <w:name w:val="Standard"/>
    <w:rsid w:val="00E21E2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5B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945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5B0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rsid w:val="009455B0"/>
    <w:pPr>
      <w:spacing w:before="100" w:beforeAutospacing="1" w:after="100" w:afterAutospacing="1"/>
    </w:pPr>
  </w:style>
  <w:style w:type="character" w:styleId="Uwydatnienie">
    <w:name w:val="Emphasis"/>
    <w:qFormat/>
    <w:rsid w:val="009455B0"/>
    <w:rPr>
      <w:i/>
      <w:iCs/>
    </w:rPr>
  </w:style>
  <w:style w:type="paragraph" w:customStyle="1" w:styleId="Akapitzlist1">
    <w:name w:val="Akapit z listą1"/>
    <w:basedOn w:val="Normalny"/>
    <w:rsid w:val="00945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9455B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A0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44E"/>
    <w:pPr>
      <w:ind w:left="720"/>
      <w:contextualSpacing/>
    </w:pPr>
  </w:style>
  <w:style w:type="character" w:styleId="Odwoaniedokomentarza">
    <w:name w:val="annotation reference"/>
    <w:basedOn w:val="Domylnaczcionkaakapitu"/>
    <w:rsid w:val="004133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3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361"/>
  </w:style>
  <w:style w:type="paragraph" w:styleId="Tematkomentarza">
    <w:name w:val="annotation subject"/>
    <w:basedOn w:val="Tekstkomentarza"/>
    <w:next w:val="Tekstkomentarza"/>
    <w:link w:val="TematkomentarzaZnak"/>
    <w:rsid w:val="0041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13361"/>
    <w:rPr>
      <w:b/>
      <w:bCs/>
    </w:rPr>
  </w:style>
  <w:style w:type="paragraph" w:customStyle="1" w:styleId="Standard">
    <w:name w:val="Standard"/>
    <w:rsid w:val="00E21E2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17">
      <w:bodyDiv w:val="1"/>
      <w:marLeft w:val="15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curex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6C07-6C79-4A70-93CD-80FE894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Szczepaniak-Kowalska</dc:creator>
  <cp:lastModifiedBy>Marta Rybko</cp:lastModifiedBy>
  <cp:revision>4</cp:revision>
  <dcterms:created xsi:type="dcterms:W3CDTF">2018-03-09T10:44:00Z</dcterms:created>
  <dcterms:modified xsi:type="dcterms:W3CDTF">2018-03-09T11:34:00Z</dcterms:modified>
</cp:coreProperties>
</file>